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3318E" w14:textId="350F2331" w:rsidR="00F97954" w:rsidRPr="003937C1" w:rsidRDefault="003937C1" w:rsidP="003937C1">
      <w:pPr>
        <w:jc w:val="center"/>
        <w:rPr>
          <w:b/>
          <w:bCs/>
        </w:rPr>
      </w:pPr>
      <w:r w:rsidRPr="003937C1">
        <w:rPr>
          <w:b/>
          <w:bCs/>
        </w:rPr>
        <w:t>Resumen del proyecto</w:t>
      </w:r>
    </w:p>
    <w:p w14:paraId="3C5A08D0" w14:textId="77777777" w:rsidR="00F97954" w:rsidRDefault="00F97954" w:rsidP="00F97954">
      <w:pPr>
        <w:jc w:val="both"/>
      </w:pPr>
      <w:r>
        <w:t>El desarrollo de fármacos frente a infecciones virales requiere identificar dianas críticas en los patógenos y disponer de modelos biológicos robustos que permitan evaluar la eficacia de nuevos compuestos con potencial terapéutico. Uno de los principales retos en este campo es localizar procesos virales específicos cuya interrupción bloquee el ciclo vital del virus sin comprometer funciones esenciales de la célula huésped.</w:t>
      </w:r>
    </w:p>
    <w:p w14:paraId="52627D44" w14:textId="77777777" w:rsidR="00F97954" w:rsidRDefault="00F97954" w:rsidP="00F97954">
      <w:pPr>
        <w:jc w:val="both"/>
      </w:pPr>
      <w:r>
        <w:t>En este proyecto de tesis doctoral se propone establecer una metodología para el cribado rápido y seguro de librerías de compuestos químicos con actividad frente a dos virus de gran relevancia para la salud humana: el virus de la gripe A, con alto potencial pandémico, y el virus de la fiebre hemorrágica Crimea-Congo, considerado uno de los patógenos emergentes más preocupantes.</w:t>
      </w:r>
    </w:p>
    <w:p w14:paraId="07CA1F77" w14:textId="7941136D" w:rsidR="00F97954" w:rsidRDefault="00F97954" w:rsidP="00F97954">
      <w:pPr>
        <w:jc w:val="both"/>
      </w:pPr>
      <w:r>
        <w:t>La estrategia se basa en la capacidad del laboratorio de generar ribonucleoproteínas (RNPs) virales recombinantes que reproducen fielmente las propiedades biológicas de las naturales. Las RNPs son complejos esenciales para la transcripción y replicación del genoma viral, procesos clave en la proliferación del virus y, por tanto, en el desarrollo de posibles tratamientos. Debido a que estos complejos son exclusivos de la maquinaria viral representan una oportunidad única para el desarrollo de fármacos. El enfoque consiste en sustituir el genoma viral de una RNP por el de una proteína reportera -GFP</w:t>
      </w:r>
      <w:r w:rsidR="003937C1">
        <w:t xml:space="preserve"> o</w:t>
      </w:r>
      <w:r>
        <w:t xml:space="preserve"> luciferasa- fácilmente detectable mediante métodos bioquímicos. La transfección de los componentes del complejo en cultivos celulares permitirá generar RNPs recombinantes capaces de producir fluorescencia o luminiscencia. Este sistema facilitará el cribado masivo de compuestos: cuando se añadan a los cultivos celulares </w:t>
      </w:r>
      <w:proofErr w:type="spellStart"/>
      <w:r>
        <w:t>transfectados</w:t>
      </w:r>
      <w:proofErr w:type="spellEnd"/>
      <w:r>
        <w:t xml:space="preserve"> la presencia de señal indicará que los compuestos no so capaces de inhibir las RNPs, mientras que la pérdida de señal mostrará que el compuesto es activo. Todos los resultados positivos posteriormente serán sometidos a controles de toxicidad y especificidad para ver su viabilidad.</w:t>
      </w:r>
    </w:p>
    <w:p w14:paraId="18FF6003" w14:textId="18301B5F" w:rsidR="00CD4AA9" w:rsidRDefault="00F97954" w:rsidP="00F97954">
      <w:pPr>
        <w:jc w:val="both"/>
      </w:pPr>
      <w:r>
        <w:t>Los compuestos más prometedores se evaluarán en una segunda fase mediante estudios de estructural</w:t>
      </w:r>
      <w:r w:rsidR="003937C1">
        <w:t>es</w:t>
      </w:r>
      <w:r>
        <w:t>. El laboratorio, situado en el Departamento de Estructura de Macromoléculas del</w:t>
      </w:r>
      <w:r w:rsidR="003937C1">
        <w:t xml:space="preserve"> CNB</w:t>
      </w:r>
      <w:r>
        <w:t xml:space="preserve">, dispone de amplia experiencia en criomicroscopía electrónica y procesamiento de imágenes. Gracias a estas técnicas, se </w:t>
      </w:r>
      <w:r w:rsidR="003937C1">
        <w:t>determinará</w:t>
      </w:r>
      <w:r>
        <w:t xml:space="preserve"> la estructura de las RNPs </w:t>
      </w:r>
      <w:r w:rsidR="003937C1">
        <w:t xml:space="preserve">unidas a </w:t>
      </w:r>
      <w:r>
        <w:t xml:space="preserve">los compuestos </w:t>
      </w:r>
      <w:r w:rsidR="003937C1">
        <w:t>para</w:t>
      </w:r>
      <w:r>
        <w:t xml:space="preserve"> identificar sus sitios de unión, proponer mecanismos de acción y plantear modificaciones que optimicen su eficacia.</w:t>
      </w:r>
    </w:p>
    <w:p w14:paraId="32CA7728" w14:textId="77777777" w:rsidR="003937C1" w:rsidRDefault="003937C1" w:rsidP="003937C1">
      <w:pPr>
        <w:jc w:val="both"/>
      </w:pPr>
      <w:r>
        <w:t xml:space="preserve">Es importante destacar que el laboratorio cuenta ya con una amplia experiencia en todos los procesos descritos. De hecho, se han obtenido previamente RNPs de gripe A que codifican proteínas reporteras distintas de las virales. Por ejemplo, se ha desarrollado un sistema basado en la expresión de la proteína </w:t>
      </w:r>
      <w:proofErr w:type="spellStart"/>
      <w:r>
        <w:t>Cloramfenicol</w:t>
      </w:r>
      <w:proofErr w:type="spellEnd"/>
      <w:r>
        <w:t xml:space="preserve"> Acetil Transferasa, empleado en estudios de actividad bioquímica de las RNPs. Sin embargo, dichos ensayos resultan lentos y no están optimizados para el cribado masivo de compuestos.</w:t>
      </w:r>
    </w:p>
    <w:p w14:paraId="0994D999" w14:textId="39602F48" w:rsidR="003937C1" w:rsidRDefault="003937C1" w:rsidP="003937C1">
      <w:pPr>
        <w:jc w:val="both"/>
      </w:pPr>
      <w:r>
        <w:t>El objetivo de esta tesis es, por tanto, establecer un sistema robusto, rápido y fiable para el cribado de fármacos candidatos a posteriores ensayos clínicos. Asimismo, los compuestos que resulten positivos se analizarán mediante estudios estructurales con el fin de determinar su mecanismo de acción y proponer posibles mejoras que aumenten su eficacia.</w:t>
      </w:r>
    </w:p>
    <w:p w14:paraId="3A02AFA7" w14:textId="77777777" w:rsidR="003937C1" w:rsidRDefault="003937C1">
      <w:r>
        <w:br w:type="page"/>
      </w:r>
    </w:p>
    <w:p w14:paraId="04D4D47D" w14:textId="7649C077" w:rsidR="009C575D" w:rsidRDefault="00656635" w:rsidP="00656635">
      <w:pPr>
        <w:spacing w:after="120"/>
        <w:jc w:val="both"/>
        <w:rPr>
          <w:b/>
          <w:bCs/>
        </w:rPr>
      </w:pPr>
      <w:r w:rsidRPr="00656635">
        <w:rPr>
          <w:b/>
          <w:bCs/>
        </w:rPr>
        <w:lastRenderedPageBreak/>
        <w:t>Equipamiento del laboratorio y del Centro Nacional de Biotecnología</w:t>
      </w:r>
    </w:p>
    <w:p w14:paraId="57E7E8F3" w14:textId="25C72B8B" w:rsidR="005A6ECD" w:rsidRDefault="005A6ECD" w:rsidP="005A6ECD">
      <w:pPr>
        <w:spacing w:after="120"/>
        <w:jc w:val="both"/>
      </w:pPr>
      <w:r>
        <w:t>El laboratorio está completamente equipado para la caracterización bioquímica y estructural de macromoléculas biológicas y complejos, especialmente mediante criomicroscopía electrónica (cryoEM). Contamos con un laboratorio de biología molecular dedicado, que dispone de toda la tecnología necesaria para la purificación de proteínas y la ejecución completa de los experimentos propuestos. Además, la mayoría de los protocolos descritos en esta propuesta se realizan de manera rutinaria en nuestro laboratorio, lo que garantiza experiencia y dominio técnico.</w:t>
      </w:r>
    </w:p>
    <w:p w14:paraId="23DE795C" w14:textId="5D612173" w:rsidR="005A6ECD" w:rsidRDefault="005A6ECD" w:rsidP="005A6ECD">
      <w:pPr>
        <w:spacing w:after="120"/>
        <w:jc w:val="both"/>
      </w:pPr>
      <w:r>
        <w:t xml:space="preserve">Por otra parte, el Centro Nacional de Biotecnología ofrece acceso a instalaciones de última generación, que incluyen salas de cultivo celular totalmente equipadas, laboratorios de bioseguridad de nivel 2 y 3, así como servicios especializados en proteómica, espectrometría de masas y servidores de computación de alto rendimiento para análisis de datos. Nuestra instalación de cryoEM dispone de una infraestructura completa para la preparación de muestras, que incluye un sistema de vitrificación Leica EM CPC, un </w:t>
      </w:r>
      <w:proofErr w:type="spellStart"/>
      <w:r>
        <w:t>Thermo</w:t>
      </w:r>
      <w:proofErr w:type="spellEnd"/>
      <w:r>
        <w:t xml:space="preserve"> Fisher </w:t>
      </w:r>
      <w:proofErr w:type="spellStart"/>
      <w:r>
        <w:t>Vitrobot</w:t>
      </w:r>
      <w:proofErr w:type="spellEnd"/>
      <w:r>
        <w:t xml:space="preserve"> Mark IV y un congelador de alta presión Leica EM GP2, junto con toda la infraestructura necesaria para el almacenamiento de muestras.</w:t>
      </w:r>
    </w:p>
    <w:p w14:paraId="14D3383A" w14:textId="77777777" w:rsidR="005A6ECD" w:rsidRDefault="005A6ECD" w:rsidP="005A6ECD">
      <w:pPr>
        <w:spacing w:after="120"/>
        <w:jc w:val="both"/>
      </w:pPr>
      <w:r>
        <w:t xml:space="preserve">En cuanto a microscopía, el servicio de cryoEM cuenta con instrumentación de vanguardia, entre la que se incluye: un microscopio JEOL 1400 Flash de 120 kV con cámara Gatan Rio para estudios convencionales de tinción negativa; un </w:t>
      </w:r>
      <w:proofErr w:type="spellStart"/>
      <w:r>
        <w:t>cryomicroscopio</w:t>
      </w:r>
      <w:proofErr w:type="spellEnd"/>
      <w:r>
        <w:t xml:space="preserve"> </w:t>
      </w:r>
      <w:proofErr w:type="spellStart"/>
      <w:r>
        <w:t>Thermo</w:t>
      </w:r>
      <w:proofErr w:type="spellEnd"/>
      <w:r>
        <w:t xml:space="preserve"> Fisher Talos </w:t>
      </w:r>
      <w:proofErr w:type="spellStart"/>
      <w:r>
        <w:t>Arctica</w:t>
      </w:r>
      <w:proofErr w:type="spellEnd"/>
      <w:r>
        <w:t xml:space="preserve"> de 200 kV con cañón de emisión de campo, cargador automático, placa de fase y detector directo de electrones Falcon IV; y un </w:t>
      </w:r>
      <w:proofErr w:type="spellStart"/>
      <w:r>
        <w:t>cryo</w:t>
      </w:r>
      <w:proofErr w:type="spellEnd"/>
      <w:r>
        <w:t xml:space="preserve">-FIB-SEM Zeiss </w:t>
      </w:r>
      <w:proofErr w:type="spellStart"/>
      <w:r>
        <w:t>CrossBeam</w:t>
      </w:r>
      <w:proofErr w:type="spellEnd"/>
      <w:r>
        <w:t xml:space="preserve"> 550 para la preparación de láminas y microscopía crio-correlativa.</w:t>
      </w:r>
    </w:p>
    <w:p w14:paraId="0669876D" w14:textId="53209456" w:rsidR="00656635" w:rsidRDefault="005A6ECD" w:rsidP="005A6ECD">
      <w:pPr>
        <w:spacing w:after="120"/>
        <w:jc w:val="both"/>
      </w:pPr>
      <w:r>
        <w:t xml:space="preserve">Además, el investigador principal de este proyecto forma parte de los Block </w:t>
      </w:r>
      <w:proofErr w:type="spellStart"/>
      <w:r>
        <w:t>Allocation</w:t>
      </w:r>
      <w:proofErr w:type="spellEnd"/>
      <w:r>
        <w:t xml:space="preserve"> </w:t>
      </w:r>
      <w:proofErr w:type="spellStart"/>
      <w:r>
        <w:t>Groups</w:t>
      </w:r>
      <w:proofErr w:type="spellEnd"/>
      <w:r>
        <w:t xml:space="preserve"> para el acceso a las instalaciones de cryoEM del ESRF (</w:t>
      </w:r>
      <w:proofErr w:type="spellStart"/>
      <w:r>
        <w:t>Grenoble</w:t>
      </w:r>
      <w:proofErr w:type="spellEnd"/>
      <w:r>
        <w:t xml:space="preserve">) y de </w:t>
      </w:r>
      <w:proofErr w:type="spellStart"/>
      <w:r>
        <w:t>Diamond</w:t>
      </w:r>
      <w:proofErr w:type="spellEnd"/>
      <w:r>
        <w:t xml:space="preserve"> Light </w:t>
      </w:r>
      <w:proofErr w:type="spellStart"/>
      <w:r>
        <w:t>Source</w:t>
      </w:r>
      <w:proofErr w:type="spellEnd"/>
      <w:r>
        <w:t xml:space="preserve"> (Oxford), lo que proporciona recursos adicionales que garantizan el éxito del proyecto.</w:t>
      </w:r>
    </w:p>
    <w:p w14:paraId="5AFB8F4F" w14:textId="2073DE83" w:rsidR="002E0EA9" w:rsidRDefault="002E0EA9" w:rsidP="005A6ECD">
      <w:pPr>
        <w:spacing w:after="120"/>
        <w:jc w:val="both"/>
        <w:rPr>
          <w:b/>
          <w:bCs/>
        </w:rPr>
      </w:pPr>
      <w:r w:rsidRPr="002E0EA9">
        <w:rPr>
          <w:b/>
          <w:bCs/>
        </w:rPr>
        <w:t>Publicaciones de los últimos 5 años.</w:t>
      </w:r>
    </w:p>
    <w:p w14:paraId="16514FC0" w14:textId="61D1B08F" w:rsidR="002E0EA9" w:rsidRDefault="002E0EA9" w:rsidP="002E0EA9">
      <w:pPr>
        <w:spacing w:after="120"/>
        <w:jc w:val="both"/>
      </w:pPr>
      <w:r>
        <w:t xml:space="preserve">Entre las publicaciones más recientes relacionadas con el proyecto que se solicitan destacan diversos trabajos en revistas internacionales de alto impacto. En 2025, </w:t>
      </w:r>
      <w:r w:rsidR="009A59DD">
        <w:t>el grupo ha publicado</w:t>
      </w:r>
      <w:r>
        <w:t xml:space="preserve"> en </w:t>
      </w:r>
      <w:proofErr w:type="spellStart"/>
      <w:r>
        <w:t>Science</w:t>
      </w:r>
      <w:proofErr w:type="spellEnd"/>
      <w:r>
        <w:t xml:space="preserve"> </w:t>
      </w:r>
      <w:proofErr w:type="spellStart"/>
      <w:r>
        <w:t>Advances</w:t>
      </w:r>
      <w:proofErr w:type="spellEnd"/>
      <w:r>
        <w:t xml:space="preserve"> el artículo titulado “</w:t>
      </w:r>
      <w:proofErr w:type="spellStart"/>
      <w:r>
        <w:t>Elucidating</w:t>
      </w:r>
      <w:proofErr w:type="spellEnd"/>
      <w:r>
        <w:t xml:space="preserve"> </w:t>
      </w:r>
      <w:proofErr w:type="spellStart"/>
      <w:r>
        <w:t>the</w:t>
      </w:r>
      <w:proofErr w:type="spellEnd"/>
      <w:r>
        <w:t xml:space="preserve"> </w:t>
      </w:r>
      <w:proofErr w:type="spellStart"/>
      <w:r>
        <w:t>structure</w:t>
      </w:r>
      <w:proofErr w:type="spellEnd"/>
      <w:r>
        <w:t xml:space="preserve"> and </w:t>
      </w:r>
      <w:proofErr w:type="spellStart"/>
      <w:r>
        <w:t>assembly</w:t>
      </w:r>
      <w:proofErr w:type="spellEnd"/>
      <w:r>
        <w:t xml:space="preserve"> </w:t>
      </w:r>
      <w:proofErr w:type="spellStart"/>
      <w:r>
        <w:t>mechanism</w:t>
      </w:r>
      <w:proofErr w:type="spellEnd"/>
      <w:r>
        <w:t xml:space="preserve"> </w:t>
      </w:r>
      <w:proofErr w:type="spellStart"/>
      <w:r>
        <w:t>of</w:t>
      </w:r>
      <w:proofErr w:type="spellEnd"/>
      <w:r>
        <w:t xml:space="preserve"> </w:t>
      </w:r>
      <w:proofErr w:type="spellStart"/>
      <w:r>
        <w:t>actinoporin</w:t>
      </w:r>
      <w:proofErr w:type="spellEnd"/>
      <w:r>
        <w:t xml:space="preserve"> </w:t>
      </w:r>
      <w:proofErr w:type="spellStart"/>
      <w:r>
        <w:t>pores</w:t>
      </w:r>
      <w:proofErr w:type="spellEnd"/>
      <w:r>
        <w:t xml:space="preserve"> in </w:t>
      </w:r>
      <w:proofErr w:type="spellStart"/>
      <w:r>
        <w:t>complex</w:t>
      </w:r>
      <w:proofErr w:type="spellEnd"/>
      <w:r>
        <w:t xml:space="preserve"> </w:t>
      </w:r>
      <w:proofErr w:type="spellStart"/>
      <w:r>
        <w:t>membrane</w:t>
      </w:r>
      <w:proofErr w:type="spellEnd"/>
      <w:r>
        <w:t xml:space="preserve"> </w:t>
      </w:r>
      <w:proofErr w:type="spellStart"/>
      <w:r>
        <w:t>environments</w:t>
      </w:r>
      <w:proofErr w:type="spellEnd"/>
      <w:r>
        <w:t>”</w:t>
      </w:r>
      <w:r w:rsidR="00933D84">
        <w:t>.</w:t>
      </w:r>
      <w:r w:rsidR="009A59DD">
        <w:t xml:space="preserve"> En </w:t>
      </w:r>
      <w:r w:rsidR="00891629">
        <w:t>él</w:t>
      </w:r>
      <w:r w:rsidR="009A59DD">
        <w:t xml:space="preserve"> se determinan a alta resolución la estructura de </w:t>
      </w:r>
      <w:r w:rsidR="00891629">
        <w:t xml:space="preserve">varias </w:t>
      </w:r>
      <w:r w:rsidR="009A59DD">
        <w:t xml:space="preserve">proteínas </w:t>
      </w:r>
      <w:r w:rsidR="00891629">
        <w:t xml:space="preserve">de membrana </w:t>
      </w:r>
      <w:r w:rsidR="009A59DD">
        <w:t>usando criomicroscopía electrónica</w:t>
      </w:r>
      <w:r w:rsidR="00891629">
        <w:t>.</w:t>
      </w:r>
    </w:p>
    <w:p w14:paraId="7671FBE8" w14:textId="26BB6DE4" w:rsidR="00190D3A" w:rsidRDefault="002E0EA9" w:rsidP="002E0EA9">
      <w:pPr>
        <w:spacing w:after="120"/>
        <w:jc w:val="both"/>
      </w:pPr>
      <w:r>
        <w:t xml:space="preserve">En 2024, Vargas J., Modrego A., Canabal H. y Martín-Benito J. </w:t>
      </w:r>
      <w:r w:rsidR="00933D84">
        <w:t>publicamos</w:t>
      </w:r>
      <w:r>
        <w:t xml:space="preserve"> en </w:t>
      </w:r>
      <w:proofErr w:type="spellStart"/>
      <w:r>
        <w:t>Frontiers</w:t>
      </w:r>
      <w:proofErr w:type="spellEnd"/>
      <w:r>
        <w:t xml:space="preserve"> in Molecular </w:t>
      </w:r>
      <w:proofErr w:type="spellStart"/>
      <w:r>
        <w:t>Biosciences</w:t>
      </w:r>
      <w:proofErr w:type="spellEnd"/>
      <w:r>
        <w:t xml:space="preserve"> el trabajo “</w:t>
      </w:r>
      <w:proofErr w:type="spellStart"/>
      <w:r>
        <w:t>Semantic</w:t>
      </w:r>
      <w:proofErr w:type="spellEnd"/>
      <w:r>
        <w:t xml:space="preserve"> </w:t>
      </w:r>
      <w:proofErr w:type="spellStart"/>
      <w:r>
        <w:t>segmentation-based</w:t>
      </w:r>
      <w:proofErr w:type="spellEnd"/>
      <w:r>
        <w:t xml:space="preserve"> </w:t>
      </w:r>
      <w:proofErr w:type="spellStart"/>
      <w:r>
        <w:t>detection</w:t>
      </w:r>
      <w:proofErr w:type="spellEnd"/>
      <w:r>
        <w:t xml:space="preserve"> </w:t>
      </w:r>
      <w:proofErr w:type="spellStart"/>
      <w:r>
        <w:t>algorithm</w:t>
      </w:r>
      <w:proofErr w:type="spellEnd"/>
      <w:r>
        <w:t xml:space="preserve"> </w:t>
      </w:r>
      <w:proofErr w:type="spellStart"/>
      <w:r>
        <w:t>for</w:t>
      </w:r>
      <w:proofErr w:type="spellEnd"/>
      <w:r>
        <w:t xml:space="preserve"> </w:t>
      </w:r>
      <w:proofErr w:type="spellStart"/>
      <w:r>
        <w:t>challenging</w:t>
      </w:r>
      <w:proofErr w:type="spellEnd"/>
      <w:r>
        <w:t xml:space="preserve"> </w:t>
      </w:r>
      <w:proofErr w:type="spellStart"/>
      <w:r>
        <w:t>cryo-electron</w:t>
      </w:r>
      <w:proofErr w:type="spellEnd"/>
      <w:r>
        <w:t xml:space="preserve"> </w:t>
      </w:r>
      <w:proofErr w:type="spellStart"/>
      <w:r>
        <w:t>microscopy</w:t>
      </w:r>
      <w:proofErr w:type="spellEnd"/>
      <w:r>
        <w:t xml:space="preserve"> RNP </w:t>
      </w:r>
      <w:r w:rsidR="00190D3A">
        <w:t>simples”, que presenta el desarrollo de un software para la detección y marcado de RNPs virales en micrografías de criomicroscopía electrónica.</w:t>
      </w:r>
      <w:r>
        <w:t xml:space="preserve"> Ese mismo año</w:t>
      </w:r>
      <w:r w:rsidR="00933D84">
        <w:t xml:space="preserve"> </w:t>
      </w:r>
      <w:r w:rsidR="00190D3A">
        <w:t xml:space="preserve">Diego </w:t>
      </w:r>
      <w:r>
        <w:t xml:space="preserve">Carlero, </w:t>
      </w:r>
      <w:proofErr w:type="spellStart"/>
      <w:r w:rsidR="00190D3A">
        <w:t>Shingo</w:t>
      </w:r>
      <w:r>
        <w:t>Fukuda</w:t>
      </w:r>
      <w:proofErr w:type="spellEnd"/>
      <w:r>
        <w:t xml:space="preserve">, </w:t>
      </w:r>
      <w:r w:rsidR="00190D3A">
        <w:t xml:space="preserve">Rebeca </w:t>
      </w:r>
      <w:r>
        <w:t>Bocanegra</w:t>
      </w:r>
      <w:r w:rsidR="00190D3A">
        <w:t>,</w:t>
      </w:r>
      <w:r>
        <w:t xml:space="preserve"> </w:t>
      </w:r>
      <w:proofErr w:type="spellStart"/>
      <w:r w:rsidR="00190D3A">
        <w:t>Toshio</w:t>
      </w:r>
      <w:proofErr w:type="spellEnd"/>
      <w:r w:rsidR="00190D3A">
        <w:t xml:space="preserve"> </w:t>
      </w:r>
      <w:r>
        <w:t>Ando</w:t>
      </w:r>
      <w:r w:rsidR="00190D3A">
        <w:t>, Jaime</w:t>
      </w:r>
      <w:r>
        <w:t xml:space="preserve"> Martín-Benito </w:t>
      </w:r>
      <w:r w:rsidR="00B00E67">
        <w:t>y</w:t>
      </w:r>
      <w:r>
        <w:t xml:space="preserve"> </w:t>
      </w:r>
      <w:r w:rsidR="00190D3A">
        <w:t xml:space="preserve">Borja </w:t>
      </w:r>
      <w:r>
        <w:t>Ibarra</w:t>
      </w:r>
      <w:r w:rsidR="00190D3A">
        <w:t xml:space="preserve"> </w:t>
      </w:r>
      <w:r>
        <w:t>publica</w:t>
      </w:r>
      <w:r w:rsidR="00933D84">
        <w:t>mos</w:t>
      </w:r>
      <w:r>
        <w:t xml:space="preserve"> en ACS Nano “</w:t>
      </w:r>
      <w:proofErr w:type="spellStart"/>
      <w:r>
        <w:t>Conformational</w:t>
      </w:r>
      <w:proofErr w:type="spellEnd"/>
      <w:r>
        <w:t xml:space="preserve"> Dynamics </w:t>
      </w:r>
      <w:proofErr w:type="spellStart"/>
      <w:r>
        <w:t>of</w:t>
      </w:r>
      <w:proofErr w:type="spellEnd"/>
      <w:r>
        <w:t xml:space="preserve"> Influenza A Virus </w:t>
      </w:r>
      <w:proofErr w:type="spellStart"/>
      <w:r>
        <w:t>Ribonucleoprotein</w:t>
      </w:r>
      <w:proofErr w:type="spellEnd"/>
      <w:r>
        <w:t xml:space="preserve"> Complexes </w:t>
      </w:r>
      <w:proofErr w:type="spellStart"/>
      <w:r>
        <w:t>during</w:t>
      </w:r>
      <w:proofErr w:type="spellEnd"/>
      <w:r>
        <w:t xml:space="preserve"> RNA </w:t>
      </w:r>
      <w:proofErr w:type="spellStart"/>
      <w:r>
        <w:t>Synthesis</w:t>
      </w:r>
      <w:proofErr w:type="spellEnd"/>
      <w:r>
        <w:t xml:space="preserve">”. </w:t>
      </w:r>
      <w:r w:rsidR="00190D3A">
        <w:t>En este artículo se visualiza en tiempo real por primera vez RNPs recombinantes del virus de la gripe durante el proceso de transcripción utilizado la técnica de microscopía de fuerza atómica de alta velocidad.</w:t>
      </w:r>
    </w:p>
    <w:p w14:paraId="1E973DA3" w14:textId="7E3DAF21" w:rsidR="002E0EA9" w:rsidRPr="00933D84" w:rsidRDefault="002E0EA9" w:rsidP="002E0EA9">
      <w:pPr>
        <w:spacing w:after="120"/>
        <w:jc w:val="both"/>
      </w:pPr>
      <w:r w:rsidRPr="00933D84">
        <w:t xml:space="preserve">También en 2024, </w:t>
      </w:r>
      <w:r w:rsidR="00933D84" w:rsidRPr="00933D84">
        <w:t>publicamos</w:t>
      </w:r>
      <w:r w:rsidRPr="00933D84">
        <w:t xml:space="preserve"> en </w:t>
      </w:r>
      <w:proofErr w:type="spellStart"/>
      <w:r w:rsidRPr="00933D84">
        <w:t>Advanced</w:t>
      </w:r>
      <w:proofErr w:type="spellEnd"/>
      <w:r w:rsidRPr="00933D84">
        <w:t xml:space="preserve"> </w:t>
      </w:r>
      <w:proofErr w:type="spellStart"/>
      <w:r w:rsidRPr="00933D84">
        <w:t>Science</w:t>
      </w:r>
      <w:proofErr w:type="spellEnd"/>
      <w:r w:rsidRPr="00933D84">
        <w:t xml:space="preserve"> el artículo “Broad </w:t>
      </w:r>
      <w:proofErr w:type="spellStart"/>
      <w:r w:rsidRPr="00933D84">
        <w:t>Adaptability</w:t>
      </w:r>
      <w:proofErr w:type="spellEnd"/>
      <w:r w:rsidRPr="00933D84">
        <w:t xml:space="preserve"> </w:t>
      </w:r>
      <w:proofErr w:type="spellStart"/>
      <w:r w:rsidRPr="00933D84">
        <w:t>of</w:t>
      </w:r>
      <w:proofErr w:type="spellEnd"/>
      <w:r w:rsidRPr="00933D84">
        <w:t xml:space="preserve"> Coronavirus </w:t>
      </w:r>
      <w:proofErr w:type="spellStart"/>
      <w:r w:rsidRPr="00933D84">
        <w:t>Adhesion</w:t>
      </w:r>
      <w:proofErr w:type="spellEnd"/>
      <w:r w:rsidRPr="00933D84">
        <w:t xml:space="preserve"> </w:t>
      </w:r>
      <w:proofErr w:type="spellStart"/>
      <w:r w:rsidRPr="00933D84">
        <w:t>Revealed</w:t>
      </w:r>
      <w:proofErr w:type="spellEnd"/>
      <w:r w:rsidRPr="00933D84">
        <w:t xml:space="preserve"> </w:t>
      </w:r>
      <w:proofErr w:type="spellStart"/>
      <w:r w:rsidRPr="00933D84">
        <w:t>from</w:t>
      </w:r>
      <w:proofErr w:type="spellEnd"/>
      <w:r w:rsidRPr="00933D84">
        <w:t xml:space="preserve"> </w:t>
      </w:r>
      <w:proofErr w:type="spellStart"/>
      <w:r w:rsidRPr="00933D84">
        <w:t>the</w:t>
      </w:r>
      <w:proofErr w:type="spellEnd"/>
      <w:r w:rsidRPr="00933D84">
        <w:t xml:space="preserve"> </w:t>
      </w:r>
      <w:proofErr w:type="spellStart"/>
      <w:r w:rsidRPr="00933D84">
        <w:t>Complementary</w:t>
      </w:r>
      <w:proofErr w:type="spellEnd"/>
      <w:r w:rsidRPr="00933D84">
        <w:t xml:space="preserve"> Surface </w:t>
      </w:r>
      <w:proofErr w:type="spellStart"/>
      <w:r w:rsidRPr="00933D84">
        <w:t>Affinity</w:t>
      </w:r>
      <w:proofErr w:type="spellEnd"/>
      <w:r w:rsidRPr="00933D84">
        <w:t xml:space="preserve"> </w:t>
      </w:r>
      <w:proofErr w:type="spellStart"/>
      <w:r w:rsidRPr="00933D84">
        <w:t>of</w:t>
      </w:r>
      <w:proofErr w:type="spellEnd"/>
      <w:r w:rsidRPr="00933D84">
        <w:t xml:space="preserve"> </w:t>
      </w:r>
      <w:proofErr w:type="spellStart"/>
      <w:r w:rsidRPr="00933D84">
        <w:t>Membrane</w:t>
      </w:r>
      <w:proofErr w:type="spellEnd"/>
      <w:r w:rsidRPr="00933D84">
        <w:t xml:space="preserve"> and </w:t>
      </w:r>
      <w:proofErr w:type="spellStart"/>
      <w:r w:rsidRPr="00933D84">
        <w:t>Spikes</w:t>
      </w:r>
      <w:proofErr w:type="spellEnd"/>
      <w:r w:rsidRPr="00933D84">
        <w:t>”</w:t>
      </w:r>
      <w:r w:rsidR="00933D84" w:rsidRPr="00933D84">
        <w:t xml:space="preserve"> sobre la investigación de la adhesión de coronavirus </w:t>
      </w:r>
      <w:r w:rsidR="00933D84">
        <w:t>sobre diferentes superficies</w:t>
      </w:r>
      <w:r w:rsidRPr="00933D84">
        <w:t>.</w:t>
      </w:r>
    </w:p>
    <w:p w14:paraId="2BEC48CD" w14:textId="27621A04" w:rsidR="002E0EA9" w:rsidRDefault="002E0EA9" w:rsidP="002E0EA9">
      <w:pPr>
        <w:spacing w:after="120"/>
        <w:jc w:val="both"/>
      </w:pPr>
      <w:r>
        <w:lastRenderedPageBreak/>
        <w:t xml:space="preserve">En 2023, </w:t>
      </w:r>
      <w:r w:rsidR="00933D84">
        <w:t>el grupo publicó en la revista</w:t>
      </w:r>
      <w:r>
        <w:t xml:space="preserve"> </w:t>
      </w:r>
      <w:proofErr w:type="spellStart"/>
      <w:r>
        <w:t>Viruses</w:t>
      </w:r>
      <w:proofErr w:type="spellEnd"/>
      <w:r>
        <w:t xml:space="preserve"> el artículo “CryoEM </w:t>
      </w:r>
      <w:proofErr w:type="spellStart"/>
      <w:r>
        <w:t>of</w:t>
      </w:r>
      <w:proofErr w:type="spellEnd"/>
      <w:r>
        <w:t xml:space="preserve"> Viral </w:t>
      </w:r>
      <w:proofErr w:type="spellStart"/>
      <w:r>
        <w:t>Ribonucleoproteins</w:t>
      </w:r>
      <w:proofErr w:type="spellEnd"/>
      <w:r>
        <w:t xml:space="preserve"> and </w:t>
      </w:r>
      <w:proofErr w:type="spellStart"/>
      <w:r>
        <w:t>Nucleocapsids</w:t>
      </w:r>
      <w:proofErr w:type="spellEnd"/>
      <w:r>
        <w:t xml:space="preserve"> </w:t>
      </w:r>
      <w:proofErr w:type="spellStart"/>
      <w:r>
        <w:t>of</w:t>
      </w:r>
      <w:proofErr w:type="spellEnd"/>
      <w:r>
        <w:t xml:space="preserve"> Single-</w:t>
      </w:r>
      <w:proofErr w:type="spellStart"/>
      <w:r>
        <w:t>Stranded</w:t>
      </w:r>
      <w:proofErr w:type="spellEnd"/>
      <w:r>
        <w:t xml:space="preserve"> RNA </w:t>
      </w:r>
      <w:proofErr w:type="spellStart"/>
      <w:r>
        <w:t>Viruses</w:t>
      </w:r>
      <w:proofErr w:type="spellEnd"/>
      <w:r>
        <w:t>”</w:t>
      </w:r>
      <w:r w:rsidR="009A59DD">
        <w:t>, una revisión sobre los avances en los estudios sobre las ribonucleoproteínas virales</w:t>
      </w:r>
      <w:r>
        <w:t>. Ese mismo año</w:t>
      </w:r>
      <w:r w:rsidR="00933D84">
        <w:t xml:space="preserve"> colaboramos con el grupo del profesor Valpuesta en la publicación </w:t>
      </w:r>
      <w:r>
        <w:t xml:space="preserve">en </w:t>
      </w:r>
      <w:proofErr w:type="spellStart"/>
      <w:r>
        <w:t>Nature</w:t>
      </w:r>
      <w:proofErr w:type="spellEnd"/>
      <w:r>
        <w:t xml:space="preserve"> </w:t>
      </w:r>
      <w:proofErr w:type="spellStart"/>
      <w:r>
        <w:t>Communications</w:t>
      </w:r>
      <w:proofErr w:type="spellEnd"/>
      <w:r>
        <w:t xml:space="preserve"> </w:t>
      </w:r>
      <w:r w:rsidR="009A59DD">
        <w:t xml:space="preserve">del artículo </w:t>
      </w:r>
      <w:r>
        <w:t>“</w:t>
      </w:r>
      <w:proofErr w:type="spellStart"/>
      <w:r>
        <w:t>The</w:t>
      </w:r>
      <w:proofErr w:type="spellEnd"/>
      <w:r>
        <w:t xml:space="preserve"> </w:t>
      </w:r>
      <w:proofErr w:type="spellStart"/>
      <w:r>
        <w:t>self-association</w:t>
      </w:r>
      <w:proofErr w:type="spellEnd"/>
      <w:r>
        <w:t xml:space="preserve"> </w:t>
      </w:r>
      <w:proofErr w:type="spellStart"/>
      <w:r>
        <w:t>equilibrium</w:t>
      </w:r>
      <w:proofErr w:type="spellEnd"/>
      <w:r>
        <w:t xml:space="preserve"> </w:t>
      </w:r>
      <w:proofErr w:type="spellStart"/>
      <w:r>
        <w:t>of</w:t>
      </w:r>
      <w:proofErr w:type="spellEnd"/>
      <w:r>
        <w:t xml:space="preserve"> DNAJA2 </w:t>
      </w:r>
      <w:proofErr w:type="spellStart"/>
      <w:r>
        <w:t>regulates</w:t>
      </w:r>
      <w:proofErr w:type="spellEnd"/>
      <w:r>
        <w:t xml:space="preserve"> </w:t>
      </w:r>
      <w:proofErr w:type="spellStart"/>
      <w:r>
        <w:t>its</w:t>
      </w:r>
      <w:proofErr w:type="spellEnd"/>
      <w:r>
        <w:t xml:space="preserve"> </w:t>
      </w:r>
      <w:proofErr w:type="spellStart"/>
      <w:r>
        <w:t>interaction</w:t>
      </w:r>
      <w:proofErr w:type="spellEnd"/>
      <w:r>
        <w:t xml:space="preserve"> </w:t>
      </w:r>
      <w:proofErr w:type="spellStart"/>
      <w:r>
        <w:t>with</w:t>
      </w:r>
      <w:proofErr w:type="spellEnd"/>
      <w:r>
        <w:t xml:space="preserve"> </w:t>
      </w:r>
      <w:proofErr w:type="spellStart"/>
      <w:r>
        <w:t>unfolded</w:t>
      </w:r>
      <w:proofErr w:type="spellEnd"/>
      <w:r>
        <w:t xml:space="preserve"> </w:t>
      </w:r>
      <w:proofErr w:type="spellStart"/>
      <w:r>
        <w:t>substrate</w:t>
      </w:r>
      <w:proofErr w:type="spellEnd"/>
      <w:r>
        <w:t xml:space="preserve"> </w:t>
      </w:r>
      <w:proofErr w:type="spellStart"/>
      <w:r>
        <w:t>proteins</w:t>
      </w:r>
      <w:proofErr w:type="spellEnd"/>
      <w:r>
        <w:t xml:space="preserve"> and </w:t>
      </w:r>
      <w:proofErr w:type="spellStart"/>
      <w:r>
        <w:t>with</w:t>
      </w:r>
      <w:proofErr w:type="spellEnd"/>
      <w:r>
        <w:t xml:space="preserve"> Hsc70”.</w:t>
      </w:r>
    </w:p>
    <w:p w14:paraId="12D8D3B1" w14:textId="6C983BD1" w:rsidR="002E0EA9" w:rsidRDefault="002E0EA9" w:rsidP="002E0EA9">
      <w:pPr>
        <w:spacing w:after="120"/>
        <w:jc w:val="both"/>
      </w:pPr>
      <w:r>
        <w:t xml:space="preserve">En 2022, </w:t>
      </w:r>
      <w:r w:rsidR="009A59DD">
        <w:t xml:space="preserve">en colaboración con </w:t>
      </w:r>
      <w:r w:rsidR="00AF6E1D">
        <w:t xml:space="preserve">el profesor Pedro J. de </w:t>
      </w:r>
      <w:r>
        <w:t>Pablo</w:t>
      </w:r>
      <w:r w:rsidR="00AF6E1D">
        <w:t xml:space="preserve"> del departamento de </w:t>
      </w:r>
      <w:r w:rsidR="00652A81" w:rsidRPr="00652A81">
        <w:t>Física de la Materia Condensada</w:t>
      </w:r>
      <w:r w:rsidR="00652A81">
        <w:t xml:space="preserve"> del Universidad Autónoma de Madrid, publicamos</w:t>
      </w:r>
      <w:r>
        <w:t xml:space="preserve"> en</w:t>
      </w:r>
      <w:r w:rsidR="00652A81">
        <w:t xml:space="preserve"> la revista</w:t>
      </w:r>
      <w:r>
        <w:t xml:space="preserve"> </w:t>
      </w:r>
      <w:proofErr w:type="spellStart"/>
      <w:r>
        <w:t>Cells</w:t>
      </w:r>
      <w:proofErr w:type="spellEnd"/>
      <w:r>
        <w:t xml:space="preserve"> el trabajo “</w:t>
      </w:r>
      <w:proofErr w:type="spellStart"/>
      <w:r>
        <w:t>Monitoring</w:t>
      </w:r>
      <w:proofErr w:type="spellEnd"/>
      <w:r>
        <w:t xml:space="preserve"> SARS-CoV-2 </w:t>
      </w:r>
      <w:proofErr w:type="spellStart"/>
      <w:r>
        <w:t>Surrogate</w:t>
      </w:r>
      <w:proofErr w:type="spellEnd"/>
      <w:r>
        <w:t xml:space="preserve"> TGEV Individual </w:t>
      </w:r>
      <w:proofErr w:type="spellStart"/>
      <w:r>
        <w:t>Virions</w:t>
      </w:r>
      <w:proofErr w:type="spellEnd"/>
      <w:r>
        <w:t xml:space="preserve"> </w:t>
      </w:r>
      <w:proofErr w:type="spellStart"/>
      <w:r>
        <w:t>Structure</w:t>
      </w:r>
      <w:proofErr w:type="spellEnd"/>
      <w:r>
        <w:t xml:space="preserve"> </w:t>
      </w:r>
      <w:proofErr w:type="spellStart"/>
      <w:r>
        <w:t>Survival</w:t>
      </w:r>
      <w:proofErr w:type="spellEnd"/>
      <w:r>
        <w:t xml:space="preserve"> </w:t>
      </w:r>
      <w:proofErr w:type="spellStart"/>
      <w:r>
        <w:t>under</w:t>
      </w:r>
      <w:proofErr w:type="spellEnd"/>
      <w:r>
        <w:t xml:space="preserve"> </w:t>
      </w:r>
      <w:proofErr w:type="spellStart"/>
      <w:r>
        <w:t>Harsh</w:t>
      </w:r>
      <w:proofErr w:type="spellEnd"/>
      <w:r>
        <w:t xml:space="preserve"> </w:t>
      </w:r>
      <w:proofErr w:type="spellStart"/>
      <w:r>
        <w:t>Physicochemical</w:t>
      </w:r>
      <w:proofErr w:type="spellEnd"/>
      <w:r>
        <w:t xml:space="preserve"> </w:t>
      </w:r>
      <w:proofErr w:type="spellStart"/>
      <w:r>
        <w:t>Environments</w:t>
      </w:r>
      <w:proofErr w:type="spellEnd"/>
      <w:r>
        <w:t>”.</w:t>
      </w:r>
      <w:r w:rsidR="00190D3A">
        <w:t xml:space="preserve"> En los que se estudia la resistencia del coronavirus TGEV a tratamientos con desinfectantes y como se destruye su membrana para liberar las RNPs.</w:t>
      </w:r>
    </w:p>
    <w:p w14:paraId="182C0303" w14:textId="55DCFD8D" w:rsidR="002F107B" w:rsidRDefault="002E0EA9" w:rsidP="002E0EA9">
      <w:pPr>
        <w:spacing w:after="120"/>
        <w:jc w:val="both"/>
      </w:pPr>
      <w:r>
        <w:t xml:space="preserve">Finalmente, en 2020, </w:t>
      </w:r>
      <w:r w:rsidR="00652A81">
        <w:t>el grupo</w:t>
      </w:r>
      <w:r>
        <w:t xml:space="preserve"> public</w:t>
      </w:r>
      <w:r w:rsidR="00652A81">
        <w:t>ó</w:t>
      </w:r>
      <w:r>
        <w:t xml:space="preserve"> en </w:t>
      </w:r>
      <w:proofErr w:type="spellStart"/>
      <w:r>
        <w:t>Nature</w:t>
      </w:r>
      <w:proofErr w:type="spellEnd"/>
      <w:r>
        <w:t xml:space="preserve"> </w:t>
      </w:r>
      <w:proofErr w:type="spellStart"/>
      <w:r>
        <w:t>Microbiology</w:t>
      </w:r>
      <w:proofErr w:type="spellEnd"/>
      <w:r>
        <w:t xml:space="preserve"> el artículo “</w:t>
      </w:r>
      <w:proofErr w:type="spellStart"/>
      <w:r>
        <w:t>Structural</w:t>
      </w:r>
      <w:proofErr w:type="spellEnd"/>
      <w:r>
        <w:t xml:space="preserve"> </w:t>
      </w:r>
      <w:proofErr w:type="spellStart"/>
      <w:r>
        <w:t>insights</w:t>
      </w:r>
      <w:proofErr w:type="spellEnd"/>
      <w:r>
        <w:t xml:space="preserve"> </w:t>
      </w:r>
      <w:proofErr w:type="spellStart"/>
      <w:r>
        <w:t>into</w:t>
      </w:r>
      <w:proofErr w:type="spellEnd"/>
      <w:r>
        <w:t xml:space="preserve"> influenza A virus </w:t>
      </w:r>
      <w:proofErr w:type="spellStart"/>
      <w:r>
        <w:t>ribonucleoproteins</w:t>
      </w:r>
      <w:proofErr w:type="spellEnd"/>
      <w:r>
        <w:t xml:space="preserve"> </w:t>
      </w:r>
      <w:proofErr w:type="spellStart"/>
      <w:r>
        <w:t>reveal</w:t>
      </w:r>
      <w:proofErr w:type="spellEnd"/>
      <w:r>
        <w:t xml:space="preserve"> a </w:t>
      </w:r>
      <w:proofErr w:type="spellStart"/>
      <w:r>
        <w:t>processive</w:t>
      </w:r>
      <w:proofErr w:type="spellEnd"/>
      <w:r>
        <w:t xml:space="preserve"> </w:t>
      </w:r>
      <w:proofErr w:type="spellStart"/>
      <w:r>
        <w:t>helical</w:t>
      </w:r>
      <w:proofErr w:type="spellEnd"/>
      <w:r>
        <w:t xml:space="preserve"> </w:t>
      </w:r>
      <w:proofErr w:type="spellStart"/>
      <w:r>
        <w:t>track</w:t>
      </w:r>
      <w:proofErr w:type="spellEnd"/>
      <w:r>
        <w:t xml:space="preserve"> as </w:t>
      </w:r>
      <w:proofErr w:type="spellStart"/>
      <w:r>
        <w:t>transcription</w:t>
      </w:r>
      <w:proofErr w:type="spellEnd"/>
      <w:r>
        <w:t xml:space="preserve"> </w:t>
      </w:r>
      <w:proofErr w:type="spellStart"/>
      <w:r>
        <w:t>mechanism</w:t>
      </w:r>
      <w:proofErr w:type="spellEnd"/>
      <w:r>
        <w:t>”</w:t>
      </w:r>
      <w:r w:rsidR="00652A81">
        <w:t xml:space="preserve">, en el que se describe en detalle el proceso de transcripción de las </w:t>
      </w:r>
      <w:r w:rsidR="00190D3A">
        <w:t>RNPs nativas</w:t>
      </w:r>
      <w:r w:rsidR="00652A81">
        <w:t xml:space="preserve"> del virus de la gripe A y el mecanismo de acción del un antiviral experimental llamado </w:t>
      </w:r>
      <w:proofErr w:type="spellStart"/>
      <w:r w:rsidR="00652A81">
        <w:t>nucleocina</w:t>
      </w:r>
      <w:proofErr w:type="spellEnd"/>
      <w:r w:rsidR="00652A81">
        <w:t>.</w:t>
      </w:r>
    </w:p>
    <w:p w14:paraId="19F7FC44" w14:textId="77777777" w:rsidR="002F107B" w:rsidRDefault="002F107B">
      <w:r>
        <w:br w:type="page"/>
      </w:r>
    </w:p>
    <w:p w14:paraId="33C2DE75" w14:textId="458CB54F" w:rsidR="002E0EA9" w:rsidRPr="002F107B" w:rsidRDefault="002F107B" w:rsidP="002F107B">
      <w:pPr>
        <w:spacing w:after="120"/>
        <w:jc w:val="center"/>
        <w:rPr>
          <w:b/>
          <w:bCs/>
        </w:rPr>
      </w:pPr>
      <w:r w:rsidRPr="002F107B">
        <w:rPr>
          <w:b/>
          <w:bCs/>
        </w:rPr>
        <w:lastRenderedPageBreak/>
        <w:t>Datos del proyecto en el que se enmarca la tesis para la que solicita financiación</w:t>
      </w:r>
    </w:p>
    <w:p w14:paraId="291884DB" w14:textId="7BF5E51B" w:rsidR="002F107B" w:rsidRDefault="002F107B" w:rsidP="002F107B">
      <w:pPr>
        <w:spacing w:after="120"/>
        <w:jc w:val="both"/>
      </w:pPr>
      <w:r>
        <w:t xml:space="preserve">La tesis se enmarcará en el proyecto titulado “Perspectivas estructurales y moleculares de las </w:t>
      </w:r>
      <w:proofErr w:type="spellStart"/>
      <w:r>
        <w:t>ribonucleoproteinas</w:t>
      </w:r>
      <w:proofErr w:type="spellEnd"/>
      <w:r>
        <w:t xml:space="preserve"> víricas: abordando el descubrimiento de fármacos antivirales”</w:t>
      </w:r>
      <w:r w:rsidRPr="002F107B">
        <w:t xml:space="preserve"> </w:t>
      </w:r>
      <w:r>
        <w:t>(PID2024-162190OB-I00) concedido en la última convocatoria del Plan Nacional de Investigación de I+D de la Agencia Estatal de investigación y financiado con 375.000€</w:t>
      </w:r>
      <w:r w:rsidR="007A6DBE">
        <w:t>.</w:t>
      </w:r>
    </w:p>
    <w:p w14:paraId="74892EB2" w14:textId="251B55F8" w:rsidR="002F107B" w:rsidRDefault="002F107B" w:rsidP="002F107B">
      <w:pPr>
        <w:spacing w:after="120"/>
        <w:jc w:val="both"/>
      </w:pPr>
      <w:r>
        <w:t>El objetivo de este proyecto es identificar posibles fármacos antivirales dirigidos contra las ribonucleoproteínas del virus de la gripe A y del virus de la fiebre hemorrágica de Crimea-Congo (CCHFv), integrando técnicas de biología molecular con estudios de biología estructural.</w:t>
      </w:r>
    </w:p>
    <w:p w14:paraId="710C0B05" w14:textId="6B74D400" w:rsidR="002F107B" w:rsidRDefault="002F107B" w:rsidP="002F107B">
      <w:pPr>
        <w:spacing w:after="120"/>
        <w:jc w:val="both"/>
      </w:pPr>
      <w:r>
        <w:t>Abordar los retos de salud pública planteados por estos patógenos resulta fundamental. El virus de la gripe A continúa siendo una amenaza global debido a su alta transmisibilidad, causando cada año entre 3 y 5 millones de casos graves y entre 250.000 y 500.000 muertes. La mortalidad aumenta drásticamente durante las pandemias, como las de 1918, 1957 y 1968, que provocaron millones de muertes. Además, nuevas cepas en su reservorio natural (aves y aves de corral), conocidas como virus de la gripe aviar altamente patógena (</w:t>
      </w:r>
      <w:proofErr w:type="spellStart"/>
      <w:r>
        <w:t>HPAIv</w:t>
      </w:r>
      <w:proofErr w:type="spellEnd"/>
      <w:r>
        <w:t xml:space="preserve">), presentan tasas de letalidad de hasta el 50% en trabajadores agrícolas infectados. Aunque estas cepas aún no se han adaptado a la transmisión sostenida entre humanos, su potencial pandémico continúa siendo motivo de gran preocupación. De manera similar, el CCHFv constituye un claro ejemplo de enfermedad infecciosa emergente. Clasificado como patógeno de alta prioridad por la OMS (https://www.who.int/activities/prioritizing-diseases-for-research-and-development-in-emergency-contexts), está incluido en la iniciativa </w:t>
      </w:r>
      <w:proofErr w:type="spellStart"/>
      <w:r>
        <w:t>Blueprint</w:t>
      </w:r>
      <w:proofErr w:type="spellEnd"/>
      <w:r>
        <w:t xml:space="preserve"> R&amp;D debido a su elevada tasa de letalidad en humanos (</w:t>
      </w:r>
      <w:r w:rsidR="007A6DBE">
        <w:t>2-5</w:t>
      </w:r>
      <w:r>
        <w:t>%). Se transmite a través de la picadura de garrapatas o del contacto directo con fluidos de animales infectados y, en la actualidad, no existen tratamientos específicos ni vacunas disponibles. Endémico de África, Asia y los Balcanes, el virus ha comenzado a expandirse por el sur de Europa, en particular España. Estudios recientes indican que hasta un 60% de los animales silvestres</w:t>
      </w:r>
      <w:r w:rsidR="007A6DBE">
        <w:t>,</w:t>
      </w:r>
      <w:r>
        <w:t xml:space="preserve"> principalmente ciervos y jabalíes, en los que la enfermedad es asintomátic</w:t>
      </w:r>
      <w:r w:rsidR="007A6DBE">
        <w:t>a,</w:t>
      </w:r>
      <w:r>
        <w:t xml:space="preserve"> están infectados en algunas regiones del país, lo que subraya su notable potencial de expansión.</w:t>
      </w:r>
    </w:p>
    <w:sectPr w:rsidR="002F10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263862"/>
    <w:multiLevelType w:val="hybridMultilevel"/>
    <w:tmpl w:val="A8009F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42D"/>
    <w:rsid w:val="00067A0F"/>
    <w:rsid w:val="000C3829"/>
    <w:rsid w:val="001460F0"/>
    <w:rsid w:val="00190D3A"/>
    <w:rsid w:val="001B723D"/>
    <w:rsid w:val="002851F9"/>
    <w:rsid w:val="002E0EA9"/>
    <w:rsid w:val="002F107B"/>
    <w:rsid w:val="003937C1"/>
    <w:rsid w:val="004226FB"/>
    <w:rsid w:val="00425179"/>
    <w:rsid w:val="00594AE0"/>
    <w:rsid w:val="005A6ECD"/>
    <w:rsid w:val="00652A81"/>
    <w:rsid w:val="00656635"/>
    <w:rsid w:val="006C7FE6"/>
    <w:rsid w:val="00752D66"/>
    <w:rsid w:val="00757E26"/>
    <w:rsid w:val="007A077B"/>
    <w:rsid w:val="007A6DBE"/>
    <w:rsid w:val="008245CB"/>
    <w:rsid w:val="00891629"/>
    <w:rsid w:val="00892134"/>
    <w:rsid w:val="00933D84"/>
    <w:rsid w:val="009A59DD"/>
    <w:rsid w:val="009C575D"/>
    <w:rsid w:val="00A2440F"/>
    <w:rsid w:val="00AB11EF"/>
    <w:rsid w:val="00AF6E1D"/>
    <w:rsid w:val="00B00E67"/>
    <w:rsid w:val="00B656BD"/>
    <w:rsid w:val="00CD4AA9"/>
    <w:rsid w:val="00CF1105"/>
    <w:rsid w:val="00DB6AB7"/>
    <w:rsid w:val="00DB7D6B"/>
    <w:rsid w:val="00EF642D"/>
    <w:rsid w:val="00F97954"/>
    <w:rsid w:val="00FB19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7FF5C"/>
  <w15:chartTrackingRefBased/>
  <w15:docId w15:val="{34BDB579-07A9-4D1A-9C9E-3447594BF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1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56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933270">
      <w:bodyDiv w:val="1"/>
      <w:marLeft w:val="0"/>
      <w:marRight w:val="0"/>
      <w:marTop w:val="0"/>
      <w:marBottom w:val="0"/>
      <w:divBdr>
        <w:top w:val="none" w:sz="0" w:space="0" w:color="auto"/>
        <w:left w:val="none" w:sz="0" w:space="0" w:color="auto"/>
        <w:bottom w:val="none" w:sz="0" w:space="0" w:color="auto"/>
        <w:right w:val="none" w:sz="0" w:space="0" w:color="auto"/>
      </w:divBdr>
    </w:div>
    <w:div w:id="644630641">
      <w:bodyDiv w:val="1"/>
      <w:marLeft w:val="0"/>
      <w:marRight w:val="0"/>
      <w:marTop w:val="0"/>
      <w:marBottom w:val="0"/>
      <w:divBdr>
        <w:top w:val="none" w:sz="0" w:space="0" w:color="auto"/>
        <w:left w:val="none" w:sz="0" w:space="0" w:color="auto"/>
        <w:bottom w:val="none" w:sz="0" w:space="0" w:color="auto"/>
        <w:right w:val="none" w:sz="0" w:space="0" w:color="auto"/>
      </w:divBdr>
      <w:divsChild>
        <w:div w:id="1405419551">
          <w:marLeft w:val="0"/>
          <w:marRight w:val="0"/>
          <w:marTop w:val="0"/>
          <w:marBottom w:val="0"/>
          <w:divBdr>
            <w:top w:val="none" w:sz="0" w:space="0" w:color="auto"/>
            <w:left w:val="none" w:sz="0" w:space="0" w:color="auto"/>
            <w:bottom w:val="none" w:sz="0" w:space="0" w:color="auto"/>
            <w:right w:val="none" w:sz="0" w:space="0" w:color="auto"/>
          </w:divBdr>
          <w:divsChild>
            <w:div w:id="209535039">
              <w:marLeft w:val="0"/>
              <w:marRight w:val="0"/>
              <w:marTop w:val="0"/>
              <w:marBottom w:val="0"/>
              <w:divBdr>
                <w:top w:val="none" w:sz="0" w:space="0" w:color="auto"/>
                <w:left w:val="none" w:sz="0" w:space="0" w:color="auto"/>
                <w:bottom w:val="none" w:sz="0" w:space="0" w:color="auto"/>
                <w:right w:val="none" w:sz="0" w:space="0" w:color="auto"/>
              </w:divBdr>
              <w:divsChild>
                <w:div w:id="1463957144">
                  <w:marLeft w:val="0"/>
                  <w:marRight w:val="0"/>
                  <w:marTop w:val="0"/>
                  <w:marBottom w:val="0"/>
                  <w:divBdr>
                    <w:top w:val="none" w:sz="0" w:space="0" w:color="auto"/>
                    <w:left w:val="none" w:sz="0" w:space="0" w:color="auto"/>
                    <w:bottom w:val="none" w:sz="0" w:space="0" w:color="auto"/>
                    <w:right w:val="none" w:sz="0" w:space="0" w:color="auto"/>
                  </w:divBdr>
                  <w:divsChild>
                    <w:div w:id="1224373482">
                      <w:marLeft w:val="0"/>
                      <w:marRight w:val="0"/>
                      <w:marTop w:val="0"/>
                      <w:marBottom w:val="0"/>
                      <w:divBdr>
                        <w:top w:val="none" w:sz="0" w:space="0" w:color="auto"/>
                        <w:left w:val="none" w:sz="0" w:space="0" w:color="auto"/>
                        <w:bottom w:val="none" w:sz="0" w:space="0" w:color="auto"/>
                        <w:right w:val="none" w:sz="0" w:space="0" w:color="auto"/>
                      </w:divBdr>
                      <w:divsChild>
                        <w:div w:id="2083477655">
                          <w:marLeft w:val="0"/>
                          <w:marRight w:val="0"/>
                          <w:marTop w:val="0"/>
                          <w:marBottom w:val="0"/>
                          <w:divBdr>
                            <w:top w:val="none" w:sz="0" w:space="0" w:color="auto"/>
                            <w:left w:val="none" w:sz="0" w:space="0" w:color="auto"/>
                            <w:bottom w:val="none" w:sz="0" w:space="0" w:color="auto"/>
                            <w:right w:val="none" w:sz="0" w:space="0" w:color="auto"/>
                          </w:divBdr>
                          <w:divsChild>
                            <w:div w:id="920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873969">
      <w:bodyDiv w:val="1"/>
      <w:marLeft w:val="0"/>
      <w:marRight w:val="0"/>
      <w:marTop w:val="0"/>
      <w:marBottom w:val="0"/>
      <w:divBdr>
        <w:top w:val="none" w:sz="0" w:space="0" w:color="auto"/>
        <w:left w:val="none" w:sz="0" w:space="0" w:color="auto"/>
        <w:bottom w:val="none" w:sz="0" w:space="0" w:color="auto"/>
        <w:right w:val="none" w:sz="0" w:space="0" w:color="auto"/>
      </w:divBdr>
    </w:div>
    <w:div w:id="982542328">
      <w:bodyDiv w:val="1"/>
      <w:marLeft w:val="0"/>
      <w:marRight w:val="0"/>
      <w:marTop w:val="0"/>
      <w:marBottom w:val="0"/>
      <w:divBdr>
        <w:top w:val="none" w:sz="0" w:space="0" w:color="auto"/>
        <w:left w:val="none" w:sz="0" w:space="0" w:color="auto"/>
        <w:bottom w:val="none" w:sz="0" w:space="0" w:color="auto"/>
        <w:right w:val="none" w:sz="0" w:space="0" w:color="auto"/>
      </w:divBdr>
    </w:div>
    <w:div w:id="169195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1648</Words>
  <Characters>9064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dc:creator>
  <cp:keywords/>
  <dc:description/>
  <cp:lastModifiedBy>Jaime</cp:lastModifiedBy>
  <cp:revision>2</cp:revision>
  <dcterms:created xsi:type="dcterms:W3CDTF">2025-11-28T14:10:00Z</dcterms:created>
  <dcterms:modified xsi:type="dcterms:W3CDTF">2025-11-28T14:10:00Z</dcterms:modified>
</cp:coreProperties>
</file>