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0" w:sz="4" w:val="single"/>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SOLICITUD DE PRÉSTAMO EXPOSICIÓN ILLUSTRACIENCIA10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Institución que solicita la exposición: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7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51"/>
        <w:gridCol w:w="5869"/>
        <w:tblGridChange w:id="0">
          <w:tblGrid>
            <w:gridCol w:w="2851"/>
            <w:gridCol w:w="5869"/>
          </w:tblGrid>
        </w:tblGridChange>
      </w:tblGrid>
      <w:tr>
        <w:trPr>
          <w:cantSplit w:val="0"/>
          <w:trHeight w:val="324"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Entidad:      </w:t>
            </w:r>
            <w:r w:rsidDel="00000000" w:rsidR="00000000" w:rsidRPr="00000000">
              <w:rPr>
                <w:rtl w:val="0"/>
              </w:rPr>
            </w:r>
          </w:p>
        </w:tc>
      </w:tr>
      <w:tr>
        <w:trPr>
          <w:cantSplit w:val="0"/>
          <w:trHeight w:val="294" w:hRule="atLeast"/>
          <w:tblHeader w:val="0"/>
        </w:trPr>
        <w:tc>
          <w:tcPr>
            <w:gridSpan w:val="2"/>
            <w:tcBorders>
              <w:top w:color="000000" w:space="0" w:sz="0" w:val="nil"/>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 la persona responsable:       </w:t>
            </w:r>
            <w:r w:rsidDel="00000000" w:rsidR="00000000" w:rsidRPr="00000000">
              <w:rPr>
                <w:rtl w:val="0"/>
              </w:rPr>
            </w:r>
          </w:p>
        </w:tc>
      </w:tr>
      <w:tr>
        <w:trPr>
          <w:cantSplit w:val="0"/>
          <w:trHeight w:val="648" w:hRule="atLeast"/>
          <w:tblHeader w:val="0"/>
        </w:trPr>
        <w:tc>
          <w:tcPr>
            <w:gridSpan w:val="2"/>
            <w:tcBorders>
              <w:top w:color="000000" w:space="0" w:sz="0" w:val="nil"/>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Dirección: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 Población/ Provincia:       </w:t>
            </w:r>
            <w:r w:rsidDel="00000000" w:rsidR="00000000" w:rsidRPr="00000000">
              <w:rPr>
                <w:rtl w:val="0"/>
              </w:rPr>
            </w:r>
          </w:p>
        </w:tc>
      </w:tr>
      <w:tr>
        <w:trPr>
          <w:cantSplit w:val="0"/>
          <w:trHeight w:val="324"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 la persona de contacto:       </w:t>
            </w:r>
            <w:r w:rsidDel="00000000" w:rsidR="00000000" w:rsidRPr="00000000">
              <w:rPr>
                <w:rtl w:val="0"/>
              </w:rPr>
            </w:r>
          </w:p>
        </w:tc>
      </w:tr>
      <w:tr>
        <w:trPr>
          <w:cantSplit w:val="0"/>
          <w:trHeight w:val="294" w:hRule="atLeast"/>
          <w:tblHeader w:val="0"/>
        </w:trPr>
        <w:tc>
          <w:tcPr>
            <w:tcBorders>
              <w:top w:color="000000" w:space="0" w:sz="0" w:val="nil"/>
              <w:left w:color="000000" w:space="0" w:sz="12" w:val="single"/>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      </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      </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Institución que acoge la exposición: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7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51"/>
        <w:gridCol w:w="5869"/>
        <w:tblGridChange w:id="0">
          <w:tblGrid>
            <w:gridCol w:w="2851"/>
            <w:gridCol w:w="5869"/>
          </w:tblGrid>
        </w:tblGridChange>
      </w:tblGrid>
      <w:tr>
        <w:trPr>
          <w:cantSplit w:val="0"/>
          <w:trHeight w:val="648"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Entidad: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w:t>
            </w:r>
            <w:r w:rsidDel="00000000" w:rsidR="00000000" w:rsidRPr="00000000">
              <w:rPr>
                <w:rtl w:val="0"/>
              </w:rPr>
            </w:r>
          </w:p>
        </w:tc>
      </w:tr>
      <w:tr>
        <w:trPr>
          <w:cantSplit w:val="0"/>
          <w:trHeight w:val="294" w:hRule="atLeast"/>
          <w:tblHeader w:val="0"/>
        </w:trPr>
        <w:tc>
          <w:tcPr>
            <w:gridSpan w:val="2"/>
            <w:tcBorders>
              <w:top w:color="000000" w:space="0" w:sz="0" w:val="nil"/>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responsable:      </w:t>
            </w:r>
            <w:r w:rsidDel="00000000" w:rsidR="00000000" w:rsidRPr="00000000">
              <w:rPr>
                <w:rtl w:val="0"/>
              </w:rPr>
            </w:r>
          </w:p>
        </w:tc>
      </w:tr>
      <w:tr>
        <w:trPr>
          <w:cantSplit w:val="0"/>
          <w:trHeight w:val="648" w:hRule="atLeast"/>
          <w:tblHeader w:val="0"/>
        </w:trPr>
        <w:tc>
          <w:tcPr>
            <w:gridSpan w:val="2"/>
            <w:tcBorders>
              <w:top w:color="000000" w:space="0" w:sz="0" w:val="nil"/>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Dirección: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 Población/ Provincia:      </w:t>
            </w:r>
            <w:r w:rsidDel="00000000" w:rsidR="00000000" w:rsidRPr="00000000">
              <w:rPr>
                <w:rtl w:val="0"/>
              </w:rPr>
            </w:r>
          </w:p>
        </w:tc>
      </w:tr>
      <w:tr>
        <w:trPr>
          <w:cantSplit w:val="0"/>
          <w:trHeight w:val="324"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 la persona de contacto:      </w:t>
            </w:r>
            <w:r w:rsidDel="00000000" w:rsidR="00000000" w:rsidRPr="00000000">
              <w:rPr>
                <w:rtl w:val="0"/>
              </w:rPr>
            </w:r>
          </w:p>
        </w:tc>
      </w:tr>
      <w:tr>
        <w:trPr>
          <w:cantSplit w:val="0"/>
          <w:trHeight w:val="294" w:hRule="atLeast"/>
          <w:tblHeader w:val="0"/>
        </w:trPr>
        <w:tc>
          <w:tcPr>
            <w:tcBorders>
              <w:top w:color="000000" w:space="0" w:sz="0" w:val="nil"/>
              <w:left w:color="000000" w:space="0" w:sz="12" w:val="single"/>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      </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      </w:t>
            </w:r>
            <w:r w:rsidDel="00000000" w:rsidR="00000000" w:rsidRPr="00000000">
              <w:rPr>
                <w:rtl w:val="0"/>
              </w:rPr>
            </w:r>
          </w:p>
        </w:tc>
      </w:tr>
      <w:tr>
        <w:trPr>
          <w:cantSplit w:val="0"/>
          <w:trHeight w:val="730" w:hRule="atLeast"/>
          <w:tblHeader w:val="0"/>
        </w:trPr>
        <w:tc>
          <w:tcPr>
            <w:tcBorders>
              <w:top w:color="000000" w:space="0" w:sz="12" w:val="single"/>
              <w:left w:color="000000" w:space="0" w:sz="12"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inicio/ Fecha fin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Horario de apertura al público:      </w:t>
            </w:r>
            <w:r w:rsidDel="00000000" w:rsidR="00000000" w:rsidRPr="00000000">
              <w:rPr>
                <w:rtl w:val="0"/>
              </w:rPr>
            </w:r>
          </w:p>
        </w:tc>
      </w:tr>
      <w:tr>
        <w:trPr>
          <w:cantSplit w:val="0"/>
          <w:trHeight w:val="643" w:hRule="atLeast"/>
          <w:tblHeader w:val="0"/>
        </w:trPr>
        <w:tc>
          <w:tcPr>
            <w:gridSpan w:val="2"/>
            <w:tcBorders>
              <w:top w:color="000000" w:space="0" w:sz="0" w:val="nil"/>
              <w:left w:color="000000" w:space="0" w:sz="12" w:val="single"/>
              <w:bottom w:color="000000" w:space="0" w:sz="0" w:val="nil"/>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 de la sala, sistema de montaje y responsables del montaje:      </w:t>
            </w:r>
            <w:r w:rsidDel="00000000" w:rsidR="00000000" w:rsidRPr="00000000">
              <w:rPr>
                <w:rtl w:val="0"/>
              </w:rPr>
            </w:r>
          </w:p>
        </w:tc>
      </w:tr>
      <w:tr>
        <w:trPr>
          <w:cantSplit w:val="0"/>
          <w:trHeight w:val="236" w:hRule="atLeast"/>
          <w:tblHeader w:val="0"/>
        </w:trPr>
        <w:tc>
          <w:tcPr>
            <w:gridSpan w:val="2"/>
            <w:tcBorders>
              <w:top w:color="000000" w:space="0" w:sz="0" w:val="nil"/>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exposición se realiza en el marco de un programa/conmemoración?      </w:t>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Por favor, complete los datos y envíelo a la dirección de correo electrónico: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exposiciones@csic.es</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con el asunto “Solicitud exposición”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fechas indicadas en este formulario son meramente informativas. Una vez confirmadas las fechas por los organizadores, los responsables de la entidad solicitante y de la que acoge la exposición deberán firmar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compromiso de préstamo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se facilitará al efecto, aceptando las condiciones de préstamo que figuran en la ficha técnica.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40 paneles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combinan textos, ilustraciones de tamaño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45×60 cm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incluido el cartel de la exposición. Los paneles están provistos de una pinza que permite colgarlos fácilmente.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 exposición se presta embalada en dos maletas con ruedas, de 50 (largo) x 30 (ancho) x 80 (alto) cm y 18 kg de peso.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llevar a cabo el montaje se adjuntará en el envío de la exposición un dossier con las instrucciones y todas las piezas detalladas.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recoger la exposición, los paneles se deben guardar en las maletas enfrentando las superficies impresas de dos paneles y poniendo un papel protector entre ellos. De esta forma quedarán enfrentadas las traseras de los cuadros.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NUNCA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pondrá una cara enfrentada a una trasera, pues se dañaría el cuadro. Los paneles con los objetos incorporados se colocarán según se reciben ordenados en su caja.</w:t>
      </w:r>
    </w:p>
    <w:p w:rsidR="00000000" w:rsidDel="00000000" w:rsidP="00000000" w:rsidRDefault="00000000" w:rsidRPr="00000000" w14:paraId="00000030">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200" w:before="20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CONDICIONES DE PRÉSTAMO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exposición se presta gratuitamente por un tiempo máximo de 30 días, pudiendo variar dependiendo de las circunstancias. Se atenderán las peticiones por orden de solicitud. Una segunda petición para la misma ciudad tendría que ser valorada por la organización.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exhibidores se comprometen a:</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que el acceso a la exposición sea público y gratuito.</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Recoger y devolver la exposición donde acuerden los organizadores y hacerse cargo de los gastos de transporte de la recogida y devolución del material. Salvo que los organizadores indiquen lo contrario,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recogida y el envío se harán a la atención de Eduardo Lorente en la C/ Hierro, 75 / 28850 / Torrejón de Ardoz, Madrid. Además, 24 antes de la entrega o recogida, el transportista tiene que avisar a Eduardo Lorente en el 690 06 09 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es quien da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acceso a la nave.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Montar y desmontar la exposición, así como hacerse cargo de los gastos de montaje, desmontaje, mantenimiento y almacenaje.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Velar en todo momento por su conservación. En caso de deterioro, el exhibidor tendrá que hacerse cargo de los costes de reimpresión y montaje de los paneles o de los materiales dañados.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Enviar al CSIC (</w:t>
      </w:r>
      <w:hyperlink r:id="rId8">
        <w:r w:rsidDel="00000000" w:rsidR="00000000" w:rsidRPr="00000000">
          <w:rPr>
            <w:rFonts w:ascii="Calibri" w:cs="Calibri" w:eastAsia="Calibri" w:hAnsi="Calibri"/>
            <w:color w:val="0000ff"/>
            <w:sz w:val="22"/>
            <w:szCs w:val="22"/>
            <w:u w:val="single"/>
            <w:rtl w:val="0"/>
          </w:rPr>
          <w:t xml:space="preserve">exposiciones@csic.es</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a Illus</w:t>
      </w:r>
      <w:r w:rsidDel="00000000" w:rsidR="00000000" w:rsidRPr="00000000">
        <w:rPr>
          <w:rFonts w:ascii="Calibri" w:cs="Calibri" w:eastAsia="Calibri" w:hAnsi="Calibri"/>
          <w:sz w:val="22"/>
          <w:szCs w:val="22"/>
          <w:rtl w:val="0"/>
        </w:rPr>
        <w:t xml:space="preserve">traciencia (</w:t>
      </w:r>
      <w:hyperlink r:id="rId9">
        <w:r w:rsidDel="00000000" w:rsidR="00000000" w:rsidRPr="00000000">
          <w:rPr>
            <w:rFonts w:ascii="Calibri" w:cs="Calibri" w:eastAsia="Calibri" w:hAnsi="Calibri"/>
            <w:color w:val="0000ff"/>
            <w:sz w:val="22"/>
            <w:szCs w:val="22"/>
            <w:u w:val="single"/>
            <w:rtl w:val="0"/>
          </w:rPr>
          <w:t xml:space="preserve">hola@illustraciencia.info</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fotografías en formato digital de la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exposición abierta al público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copia de la nota de prensa enviada a los medios de comunicación y las noticias generadas por la exposición.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las acciones de divulgación o difusión (prensa, radio, web…) se debe hacer mención al Consejo Superior de Investigaciones Científicas (CSIC)</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Asociación Catalana de Comunicación Científica (ACCC) y al Museo Nacional de Cienc</w:t>
      </w:r>
      <w:r w:rsidDel="00000000" w:rsidR="00000000" w:rsidRPr="00000000">
        <w:rPr>
          <w:rFonts w:ascii="Calibri" w:cs="Calibri" w:eastAsia="Calibri" w:hAnsi="Calibri"/>
          <w:sz w:val="22"/>
          <w:szCs w:val="22"/>
          <w:highlight w:val="white"/>
          <w:rtl w:val="0"/>
        </w:rPr>
        <w:t xml:space="preserve">ias Naturales (MNCN-CSIC)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entidades organizadoras de la exposición. El CSIC se reserva el derecho de suspender el préstamo y, en consecuencia, retirar el material prestado si en el transcurso del periodo de préstamo se produjeran alteraciones en las condiciones de la exposición, así como por cualquier otra causa que, a criterio del CSIC, pudiera producir un perjuicio material o moral.</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 la clausura de la exposición, cumplimentar y remitir al CSIC el formulario de evaluación.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Así mismo se compromete cuando comparta en sus redes sociales la exposición a nombrar / etiquetar Illustraciencia.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CONTENIDO ADICIONAL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exposición se puede completar con el visionado del documental “Voces y trazos de la ilustración científica”: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ILUSTRACIENCIA_2023_subt.mp4 - Google Drive</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BORRAR EL LOGO DEL FECYT</w:t>
      </w:r>
    </w:p>
    <w:sectPr>
      <w:headerReference r:id="rId11" w:type="default"/>
      <w:footerReference r:id="rId12" w:type="default"/>
      <w:pgSz w:h="16840" w:w="11900" w:orient="portrait"/>
      <w:pgMar w:bottom="1417" w:top="720" w:left="1701" w:right="1701" w:header="540" w:footer="6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1" distB="0" distT="0" distL="0" distR="0" hidden="0" layoutInCell="1" locked="0" relativeHeight="0" simplePos="0">
          <wp:simplePos x="0" y="0"/>
          <wp:positionH relativeFrom="page">
            <wp:posOffset>1080135</wp:posOffset>
          </wp:positionH>
          <wp:positionV relativeFrom="page">
            <wp:posOffset>9868535</wp:posOffset>
          </wp:positionV>
          <wp:extent cx="5157471" cy="523875"/>
          <wp:effectExtent b="0" l="0" r="0" t="0"/>
          <wp:wrapNone/>
          <wp:docPr descr="image.png" id="1073741827" name="image1.png"/>
          <a:graphic>
            <a:graphicData uri="http://schemas.openxmlformats.org/drawingml/2006/picture">
              <pic:pic>
                <pic:nvPicPr>
                  <pic:cNvPr descr="image.png" id="0" name="image1.png"/>
                  <pic:cNvPicPr preferRelativeResize="0"/>
                </pic:nvPicPr>
                <pic:blipFill>
                  <a:blip r:embed="rId1"/>
                  <a:srcRect b="0" l="0" r="20489" t="0"/>
                  <a:stretch>
                    <a:fillRect/>
                  </a:stretch>
                </pic:blipFill>
                <pic:spPr>
                  <a:xfrm>
                    <a:off x="0" y="0"/>
                    <a:ext cx="5157471" cy="52387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970622" cy="1856852"/>
          <wp:effectExtent b="0" l="0" r="0" t="0"/>
          <wp:docPr descr="image.png" id="1073741828" name="image2.png"/>
          <a:graphic>
            <a:graphicData uri="http://schemas.openxmlformats.org/drawingml/2006/picture">
              <pic:pic>
                <pic:nvPicPr>
                  <pic:cNvPr descr="image.png" id="0" name="image2.png"/>
                  <pic:cNvPicPr preferRelativeResize="0"/>
                </pic:nvPicPr>
                <pic:blipFill>
                  <a:blip r:embed="rId2"/>
                  <a:srcRect b="25039" l="0" r="611" t="46299"/>
                  <a:stretch>
                    <a:fillRect/>
                  </a:stretch>
                </pic:blipFill>
                <pic:spPr>
                  <a:xfrm>
                    <a:off x="0" y="0"/>
                    <a:ext cx="4970622" cy="18568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cabezado">
    <w:name w:val="Encabezado"/>
    <w:next w:val="Encabezado"/>
    <w:pPr>
      <w:keepNext w:val="0"/>
      <w:keepLines w:val="0"/>
      <w:pageBreakBefore w:val="0"/>
      <w:widowControl w:val="1"/>
      <w:shd w:color="auto" w:fill="auto" w:val="clear"/>
      <w:tabs>
        <w:tab w:val="center" w:pos="4252"/>
        <w:tab w:val="right" w:pos="8504"/>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s-ES_tradnl"/>
      <w14:textFill>
        <w14:solidFill>
          <w14:srgbClr w14:val="000000"/>
        </w14:solidFill>
      </w14:textFill>
    </w:rPr>
  </w:style>
  <w:style w:type="character" w:styleId="Ninguno">
    <w:name w:val="Ninguno"/>
  </w:style>
  <w:style w:type="paragraph" w:styleId="Pie de página">
    <w:name w:val="Pie de página"/>
    <w:next w:val="Pie de página"/>
    <w:pPr>
      <w:keepNext w:val="0"/>
      <w:keepLines w:val="0"/>
      <w:pageBreakBefore w:val="0"/>
      <w:widowControl w:val="1"/>
      <w:shd w:color="auto" w:fill="auto" w:val="clear"/>
      <w:tabs>
        <w:tab w:val="center" w:pos="4252"/>
        <w:tab w:val="right" w:pos="8504"/>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s-ES_tradnl"/>
      <w14:textFill>
        <w14:solidFill>
          <w14:srgbClr w14:val="000000"/>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s-ES_tradnl"/>
      <w14:textFill>
        <w14:solidFill>
          <w14:srgbClr w14:val="000000"/>
        </w14:solidFill>
      </w14:textFill>
      <w14:textOutline>
        <w14:noFill/>
      </w14:textOutline>
    </w:rPr>
  </w:style>
  <w:style w:type="character" w:styleId="Hyperlink.0">
    <w:name w:val="Hyperlink.0"/>
    <w:basedOn w:val="Ninguno"/>
    <w:next w:val="Hyperlink.0"/>
    <w:rPr>
      <w:rFonts w:ascii="Calibri" w:cs="Calibri" w:eastAsia="Calibri" w:hAnsi="Calibri"/>
      <w:b w:val="1"/>
      <w:bCs w:val="1"/>
      <w:outline w:val="0"/>
      <w:color w:val="0000ff"/>
      <w:sz w:val="22"/>
      <w:szCs w:val="22"/>
      <w:u w:color="0000ff" w:val="single"/>
      <w14:textFill>
        <w14:solidFill>
          <w14:srgbClr w14:val="0000FF"/>
        </w14:solidFill>
      </w14:textFill>
    </w:rPr>
  </w:style>
  <w:style w:type="numbering" w:styleId="Estilo importado 1">
    <w:name w:val="Estilo importado 1"/>
    <w:pPr>
      <w:numPr>
        <w:numId w:val="1"/>
      </w:numPr>
    </w:pPr>
  </w:style>
  <w:style w:type="character" w:styleId="Hyperlink.1">
    <w:name w:val="Hyperlink.1"/>
    <w:basedOn w:val="Ninguno"/>
    <w:next w:val="Hyperlink.1"/>
    <w:rPr>
      <w:rFonts w:ascii="Calibri" w:cs="Calibri" w:eastAsia="Calibri" w:hAnsi="Calibri"/>
      <w:outline w:val="0"/>
      <w:color w:val="0000ff"/>
      <w:sz w:val="22"/>
      <w:szCs w:val="22"/>
      <w:u w:color="0000ff" w:val="singl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file/d/1ltnylcN9Xblxuw3w7_a2XSRSpGQ2D_8I/view" TargetMode="External"/><Relationship Id="rId12" Type="http://schemas.openxmlformats.org/officeDocument/2006/relationships/footer" Target="footer1.xml"/><Relationship Id="rId9" Type="http://schemas.openxmlformats.org/officeDocument/2006/relationships/hyperlink" Target="mailto:hola@illustraciencia.inf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xposiciones@csic.es" TargetMode="External"/><Relationship Id="rId8" Type="http://schemas.openxmlformats.org/officeDocument/2006/relationships/hyperlink" Target="mailto:exposiciones@cs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zysAVkUAbyhIh1H145miYkDvg==">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